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shd w:val="clear" w:color="auto" w:fill="C6D9F1" w:themeFill="text2" w:themeFillTint="33"/>
        <w:tblLook w:val="04A0"/>
      </w:tblPr>
      <w:tblGrid>
        <w:gridCol w:w="9855"/>
      </w:tblGrid>
      <w:tr w:rsidR="005F6491" w:rsidTr="001D5BD4">
        <w:trPr>
          <w:trHeight w:val="2651"/>
        </w:trPr>
        <w:tc>
          <w:tcPr>
            <w:tcW w:w="9855" w:type="dxa"/>
            <w:shd w:val="clear" w:color="auto" w:fill="C6D9F1" w:themeFill="text2" w:themeFillTint="33"/>
          </w:tcPr>
          <w:p w:rsidR="005F6491" w:rsidRDefault="005F6491" w:rsidP="001D5BD4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5F6491" w:rsidRPr="00D73240" w:rsidRDefault="005F6491" w:rsidP="001D5BD4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D73240">
              <w:rPr>
                <w:b/>
                <w:bCs/>
                <w:i/>
                <w:iCs/>
                <w:color w:val="FF0000"/>
                <w:sz w:val="40"/>
                <w:szCs w:val="40"/>
              </w:rPr>
              <w:t>Державний стандарт</w:t>
            </w:r>
          </w:p>
          <w:p w:rsidR="005F6491" w:rsidRPr="00D73240" w:rsidRDefault="005F6491" w:rsidP="001D5BD4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D73240">
              <w:rPr>
                <w:b/>
                <w:bCs/>
                <w:i/>
                <w:iCs/>
                <w:color w:val="FF0000"/>
                <w:sz w:val="36"/>
                <w:szCs w:val="36"/>
              </w:rPr>
              <w:t>професійно-технічної освіти</w:t>
            </w:r>
          </w:p>
          <w:p w:rsidR="005F6491" w:rsidRPr="00D73240" w:rsidRDefault="005F6491" w:rsidP="001D5BD4">
            <w:pPr>
              <w:widowControl w:val="0"/>
              <w:jc w:val="both"/>
              <w:rPr>
                <w:b/>
                <w:bCs/>
              </w:rPr>
            </w:pPr>
          </w:p>
          <w:p w:rsidR="005F6491" w:rsidRDefault="005F6491" w:rsidP="005F6491">
            <w:pPr>
              <w:widowControl w:val="0"/>
              <w:jc w:val="both"/>
            </w:pPr>
            <w:r w:rsidRPr="005F6491">
              <w:rPr>
                <w:b/>
              </w:rPr>
              <w:t>Професія:</w:t>
            </w:r>
            <w:r>
              <w:t xml:space="preserve">        </w:t>
            </w:r>
            <w:r w:rsidR="00521A15" w:rsidRPr="00AF4700">
              <w:rPr>
                <w:b/>
                <w:i/>
                <w:color w:val="984806" w:themeColor="accent6" w:themeShade="80"/>
              </w:rPr>
              <w:t>Обліковець з реєстрації бухгалтерських даних</w:t>
            </w:r>
          </w:p>
          <w:p w:rsidR="005F6491" w:rsidRDefault="005F6491" w:rsidP="005F6491">
            <w:pPr>
              <w:widowControl w:val="0"/>
              <w:jc w:val="both"/>
            </w:pPr>
            <w:r w:rsidRPr="005F6491">
              <w:rPr>
                <w:b/>
              </w:rPr>
              <w:t>Код:</w:t>
            </w:r>
            <w:r>
              <w:t xml:space="preserve">                  </w:t>
            </w:r>
            <w:r w:rsidR="00521A15">
              <w:rPr>
                <w:b/>
                <w:i/>
                <w:color w:val="984806" w:themeColor="accent6" w:themeShade="80"/>
              </w:rPr>
              <w:t>4121</w:t>
            </w:r>
          </w:p>
          <w:p w:rsidR="005F6491" w:rsidRPr="00D73240" w:rsidRDefault="005F6491" w:rsidP="005F6491">
            <w:pPr>
              <w:widowControl w:val="0"/>
              <w:jc w:val="both"/>
              <w:rPr>
                <w:u w:val="single"/>
              </w:rPr>
            </w:pPr>
            <w:r w:rsidRPr="005F6491">
              <w:rPr>
                <w:b/>
              </w:rPr>
              <w:t>Кваліфікація:</w:t>
            </w:r>
            <w:r>
              <w:t xml:space="preserve"> </w:t>
            </w:r>
            <w:r w:rsidR="00AF4700" w:rsidRPr="00AF4700">
              <w:rPr>
                <w:b/>
                <w:i/>
                <w:color w:val="984806" w:themeColor="accent6" w:themeShade="80"/>
              </w:rPr>
              <w:t>Обліковець з реєстрації бухгалтерських даних</w:t>
            </w:r>
            <w:r w:rsidR="00AF4700">
              <w:rPr>
                <w:b/>
                <w:i/>
                <w:color w:val="984806" w:themeColor="accent6" w:themeShade="80"/>
              </w:rPr>
              <w:t xml:space="preserve"> </w:t>
            </w:r>
          </w:p>
          <w:p w:rsidR="005F6491" w:rsidRDefault="005F6491" w:rsidP="005F6491">
            <w:pPr>
              <w:widowControl w:val="0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</w:tr>
    </w:tbl>
    <w:p w:rsidR="005F6491" w:rsidRDefault="005F6491" w:rsidP="005F6491">
      <w:pPr>
        <w:widowControl w:val="0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E90A80" w:rsidRPr="00D73240" w:rsidRDefault="00E90A80" w:rsidP="00E75259">
      <w:pPr>
        <w:widowControl w:val="0"/>
        <w:jc w:val="both"/>
        <w:rPr>
          <w:u w:val="single"/>
        </w:rPr>
      </w:pPr>
    </w:p>
    <w:p w:rsidR="00E75259" w:rsidRPr="00AF4700" w:rsidRDefault="00AF4700" w:rsidP="00E75259">
      <w:pPr>
        <w:widowControl w:val="0"/>
        <w:jc w:val="center"/>
        <w:rPr>
          <w:b/>
          <w:i/>
          <w:color w:val="C00000"/>
          <w:u w:val="single"/>
        </w:rPr>
      </w:pPr>
      <w:r w:rsidRPr="00AF4700">
        <w:rPr>
          <w:b/>
          <w:i/>
          <w:color w:val="C00000"/>
          <w:u w:val="single"/>
        </w:rPr>
        <w:t>ОБЛІКОВЕЦЬ З РЕЄСТРАЦІЇ БУХГАЛТЕРСЬКИХ ДАНИХ</w:t>
      </w:r>
    </w:p>
    <w:p w:rsidR="00D73240" w:rsidRPr="00D73240" w:rsidRDefault="00D73240" w:rsidP="00E75259">
      <w:pPr>
        <w:widowControl w:val="0"/>
        <w:jc w:val="center"/>
        <w:rPr>
          <w:b/>
          <w:i/>
          <w:color w:val="C00000"/>
          <w:u w:val="single"/>
        </w:rPr>
      </w:pPr>
    </w:p>
    <w:p w:rsidR="004C4C8B" w:rsidRPr="000E3CD4" w:rsidRDefault="004C4C8B" w:rsidP="004C4C8B">
      <w:pPr>
        <w:widowControl w:val="0"/>
        <w:jc w:val="center"/>
        <w:rPr>
          <w:b/>
          <w:i/>
          <w:u w:val="single"/>
        </w:rPr>
      </w:pPr>
      <w:r w:rsidRPr="000E3CD4">
        <w:rPr>
          <w:b/>
          <w:i/>
          <w:u w:val="single"/>
        </w:rPr>
        <w:t>Типовий навчальний план</w:t>
      </w:r>
      <w:r w:rsidRPr="000E3CD4">
        <w:rPr>
          <w:b/>
          <w:i/>
          <w:u w:val="single"/>
        </w:rPr>
        <w:br/>
        <w:t>підготовки кваліфікованих робітників</w:t>
      </w:r>
    </w:p>
    <w:tbl>
      <w:tblPr>
        <w:tblpPr w:leftFromText="180" w:rightFromText="180" w:vertAnchor="text" w:horzAnchor="margin" w:tblpY="229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82"/>
        <w:gridCol w:w="6107"/>
        <w:gridCol w:w="1122"/>
        <w:gridCol w:w="2008"/>
      </w:tblGrid>
      <w:tr w:rsidR="00AF4700" w:rsidRPr="00AF4700" w:rsidTr="00766758">
        <w:tc>
          <w:tcPr>
            <w:tcW w:w="682" w:type="dxa"/>
            <w:vMerge w:val="restart"/>
            <w:vAlign w:val="center"/>
          </w:tcPr>
          <w:p w:rsidR="00AF4700" w:rsidRPr="00AF4700" w:rsidRDefault="00AF4700" w:rsidP="007667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4700">
              <w:rPr>
                <w:b/>
                <w:i/>
                <w:color w:val="000000"/>
                <w:sz w:val="24"/>
                <w:szCs w:val="24"/>
              </w:rPr>
              <w:t>№</w:t>
            </w:r>
            <w:r w:rsidRPr="00AF4700">
              <w:rPr>
                <w:b/>
                <w:i/>
                <w:color w:val="000000"/>
                <w:sz w:val="24"/>
                <w:szCs w:val="24"/>
              </w:rPr>
              <w:br/>
              <w:t>з/п</w:t>
            </w:r>
          </w:p>
        </w:tc>
        <w:tc>
          <w:tcPr>
            <w:tcW w:w="6107" w:type="dxa"/>
            <w:vMerge w:val="restart"/>
            <w:vAlign w:val="center"/>
          </w:tcPr>
          <w:p w:rsidR="00AF4700" w:rsidRPr="00AF4700" w:rsidRDefault="00AF4700" w:rsidP="007667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4700">
              <w:rPr>
                <w:b/>
                <w:i/>
                <w:color w:val="000000"/>
                <w:sz w:val="24"/>
                <w:szCs w:val="24"/>
              </w:rPr>
              <w:t>Предмети</w:t>
            </w:r>
          </w:p>
        </w:tc>
        <w:tc>
          <w:tcPr>
            <w:tcW w:w="3130" w:type="dxa"/>
            <w:gridSpan w:val="2"/>
            <w:vAlign w:val="center"/>
          </w:tcPr>
          <w:p w:rsidR="00AF4700" w:rsidRPr="00AF4700" w:rsidRDefault="00AF4700" w:rsidP="007667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4700">
              <w:rPr>
                <w:b/>
                <w:i/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AF4700" w:rsidRPr="00AF4700" w:rsidTr="00766758">
        <w:tc>
          <w:tcPr>
            <w:tcW w:w="682" w:type="dxa"/>
            <w:vMerge/>
            <w:vAlign w:val="center"/>
          </w:tcPr>
          <w:p w:rsidR="00AF4700" w:rsidRPr="00AF4700" w:rsidRDefault="00AF4700" w:rsidP="007667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107" w:type="dxa"/>
            <w:vMerge/>
            <w:vAlign w:val="center"/>
          </w:tcPr>
          <w:p w:rsidR="00AF4700" w:rsidRPr="00AF4700" w:rsidRDefault="00AF4700" w:rsidP="007667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AF4700" w:rsidRPr="00AF4700" w:rsidRDefault="00AF4700" w:rsidP="007667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4700">
              <w:rPr>
                <w:b/>
                <w:i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008" w:type="dxa"/>
            <w:vAlign w:val="center"/>
          </w:tcPr>
          <w:p w:rsidR="00AF4700" w:rsidRPr="00AF4700" w:rsidRDefault="00AF4700" w:rsidP="00AF47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4700">
              <w:rPr>
                <w:b/>
                <w:i/>
                <w:color w:val="000000"/>
                <w:sz w:val="24"/>
                <w:szCs w:val="24"/>
              </w:rPr>
              <w:t xml:space="preserve">З них на </w:t>
            </w:r>
            <w:proofErr w:type="spellStart"/>
            <w:r w:rsidRPr="00AF4700">
              <w:rPr>
                <w:b/>
                <w:i/>
                <w:color w:val="000000"/>
                <w:sz w:val="24"/>
                <w:szCs w:val="24"/>
              </w:rPr>
              <w:t>лаб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  <w:r w:rsidRPr="00AF4700">
              <w:rPr>
                <w:b/>
                <w:i/>
                <w:color w:val="000000"/>
                <w:sz w:val="24"/>
                <w:szCs w:val="24"/>
              </w:rPr>
              <w:t>-прак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  <w:r w:rsidRPr="00AF4700">
              <w:rPr>
                <w:b/>
                <w:i/>
                <w:color w:val="000000"/>
                <w:sz w:val="24"/>
                <w:szCs w:val="24"/>
              </w:rPr>
              <w:t xml:space="preserve"> роботи</w:t>
            </w: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Загально професійна підготовка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4</w:t>
            </w: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Основи правових знань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Правила дорожнього руху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Основи галузевої економіки і підприємництва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 xml:space="preserve">Резерв часу 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Професійно-теоретична підготовка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Бухгалтерський облік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4700">
              <w:rPr>
                <w:color w:val="000000"/>
                <w:sz w:val="24"/>
                <w:szCs w:val="24"/>
              </w:rPr>
              <w:t>26</w:t>
            </w:r>
            <w:r w:rsidRPr="00AF4700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Економіка підприємства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Основи статистики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8</w:t>
            </w: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Фінанси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Інформаційні системи і технології в обліку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Охорона праці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Основи оподаткування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Професійно-практична підготовка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77</w:t>
            </w:r>
            <w:r w:rsidRPr="00AF4700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Виробниче навчання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4700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Виробнича практика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  <w:r w:rsidRPr="00AF4700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 xml:space="preserve">Державна кваліфікаційна атестація 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700" w:rsidRPr="00AF4700" w:rsidTr="00766758">
        <w:tc>
          <w:tcPr>
            <w:tcW w:w="682" w:type="dxa"/>
          </w:tcPr>
          <w:p w:rsidR="00AF4700" w:rsidRPr="00AF4700" w:rsidRDefault="00AF4700" w:rsidP="007667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07" w:type="dxa"/>
          </w:tcPr>
          <w:p w:rsidR="00AF4700" w:rsidRPr="00AF4700" w:rsidRDefault="00AF4700" w:rsidP="00766758">
            <w:pPr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Загальний обсяг навчального часу (без п. 4):</w:t>
            </w:r>
          </w:p>
        </w:tc>
        <w:tc>
          <w:tcPr>
            <w:tcW w:w="1122" w:type="dxa"/>
          </w:tcPr>
          <w:p w:rsidR="00AF4700" w:rsidRPr="00AF4700" w:rsidRDefault="00AF4700" w:rsidP="007667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2008" w:type="dxa"/>
          </w:tcPr>
          <w:p w:rsidR="00AF4700" w:rsidRPr="00AF4700" w:rsidRDefault="00AF4700" w:rsidP="007667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4700">
              <w:rPr>
                <w:b/>
                <w:color w:val="000000"/>
                <w:sz w:val="24"/>
                <w:szCs w:val="24"/>
              </w:rPr>
              <w:t>168</w:t>
            </w:r>
          </w:p>
        </w:tc>
      </w:tr>
    </w:tbl>
    <w:p w:rsidR="004C4C8B" w:rsidRPr="00D73240" w:rsidRDefault="004C4C8B" w:rsidP="004C4C8B">
      <w:pPr>
        <w:widowControl w:val="0"/>
        <w:ind w:left="1276"/>
      </w:pPr>
    </w:p>
    <w:p w:rsidR="00D73240" w:rsidRDefault="00D73240" w:rsidP="004C4C8B">
      <w:pPr>
        <w:widowControl w:val="0"/>
        <w:jc w:val="center"/>
        <w:rPr>
          <w:b/>
          <w:bCs/>
          <w:i/>
          <w:iCs/>
        </w:rPr>
      </w:pPr>
    </w:p>
    <w:p w:rsidR="005A37A6" w:rsidRPr="000E3CD4" w:rsidRDefault="004C4C8B" w:rsidP="004C4C8B">
      <w:pPr>
        <w:widowControl w:val="0"/>
        <w:jc w:val="center"/>
        <w:rPr>
          <w:b/>
          <w:bCs/>
          <w:i/>
          <w:iCs/>
          <w:u w:val="single"/>
        </w:rPr>
      </w:pPr>
      <w:r w:rsidRPr="000E3CD4">
        <w:rPr>
          <w:b/>
          <w:bCs/>
          <w:i/>
          <w:iCs/>
          <w:u w:val="single"/>
        </w:rPr>
        <w:t>Освітньо-кваліфікаційна характеристика випускника</w:t>
      </w:r>
    </w:p>
    <w:p w:rsidR="004C4C8B" w:rsidRDefault="004C4C8B" w:rsidP="004C4C8B">
      <w:pPr>
        <w:widowControl w:val="0"/>
        <w:jc w:val="center"/>
        <w:rPr>
          <w:b/>
          <w:bCs/>
          <w:i/>
          <w:iCs/>
          <w:u w:val="single"/>
        </w:rPr>
      </w:pPr>
      <w:r w:rsidRPr="000E3CD4">
        <w:rPr>
          <w:b/>
          <w:bCs/>
          <w:i/>
          <w:iCs/>
          <w:u w:val="single"/>
        </w:rPr>
        <w:t xml:space="preserve"> професійно - технічного навчального закладу</w:t>
      </w:r>
    </w:p>
    <w:p w:rsidR="00AF4700" w:rsidRDefault="00AF4700" w:rsidP="004C4C8B">
      <w:pPr>
        <w:widowControl w:val="0"/>
        <w:jc w:val="center"/>
        <w:rPr>
          <w:b/>
          <w:bCs/>
          <w:i/>
          <w:iCs/>
          <w:u w:val="single"/>
        </w:rPr>
      </w:pPr>
    </w:p>
    <w:p w:rsidR="00AF4700" w:rsidRPr="00AF4700" w:rsidRDefault="00AF4700" w:rsidP="00AF4700">
      <w:pPr>
        <w:ind w:left="539"/>
        <w:jc w:val="both"/>
        <w:rPr>
          <w:bCs/>
          <w:color w:val="000000" w:themeColor="text1"/>
          <w:sz w:val="24"/>
          <w:szCs w:val="24"/>
        </w:rPr>
      </w:pPr>
      <w:r w:rsidRPr="00AF4700">
        <w:rPr>
          <w:b/>
          <w:color w:val="000000" w:themeColor="text1"/>
          <w:sz w:val="24"/>
          <w:szCs w:val="24"/>
        </w:rPr>
        <w:t xml:space="preserve">Повинен знати: </w:t>
      </w:r>
      <w:r w:rsidRPr="00AF4700">
        <w:rPr>
          <w:bCs/>
          <w:color w:val="000000" w:themeColor="text1"/>
          <w:sz w:val="24"/>
          <w:szCs w:val="24"/>
        </w:rPr>
        <w:t xml:space="preserve">нормативні, методичні та інші інструктивні матеріали з організації та ведення бухгалтерського обліку і складання фінансової звітності; основи облікової політики, систему регістрів бухгалтерського обліку, порядок і способи реєстрації інформації, правила </w:t>
      </w:r>
      <w:proofErr w:type="spellStart"/>
      <w:r w:rsidRPr="00AF4700">
        <w:rPr>
          <w:bCs/>
          <w:color w:val="000000" w:themeColor="text1"/>
          <w:sz w:val="24"/>
          <w:szCs w:val="24"/>
        </w:rPr>
        <w:t>документообороту</w:t>
      </w:r>
      <w:proofErr w:type="spellEnd"/>
      <w:r w:rsidRPr="00AF4700">
        <w:rPr>
          <w:bCs/>
          <w:color w:val="000000" w:themeColor="text1"/>
          <w:sz w:val="24"/>
          <w:szCs w:val="24"/>
        </w:rPr>
        <w:t xml:space="preserve"> і технологію оброблення облікової інформації </w:t>
      </w:r>
      <w:r w:rsidRPr="00AF4700">
        <w:rPr>
          <w:bCs/>
          <w:color w:val="000000" w:themeColor="text1"/>
          <w:sz w:val="24"/>
          <w:szCs w:val="24"/>
        </w:rPr>
        <w:lastRenderedPageBreak/>
        <w:t>на підприємстві; систему і форми внутрішньогосподарського (управлінського) обліку, звітності та контролю.</w:t>
      </w:r>
    </w:p>
    <w:p w:rsidR="00AF4700" w:rsidRPr="00AF4700" w:rsidRDefault="00AF4700" w:rsidP="00AF4700">
      <w:pPr>
        <w:ind w:left="539"/>
        <w:jc w:val="both"/>
        <w:rPr>
          <w:bCs/>
          <w:color w:val="000000" w:themeColor="text1"/>
          <w:sz w:val="24"/>
          <w:szCs w:val="24"/>
        </w:rPr>
      </w:pPr>
      <w:r w:rsidRPr="00AF4700">
        <w:rPr>
          <w:b/>
          <w:color w:val="000000" w:themeColor="text1"/>
          <w:sz w:val="24"/>
          <w:szCs w:val="24"/>
        </w:rPr>
        <w:t xml:space="preserve">Повинен уміти: </w:t>
      </w:r>
      <w:r w:rsidRPr="00AF4700">
        <w:rPr>
          <w:bCs/>
          <w:color w:val="000000" w:themeColor="text1"/>
          <w:sz w:val="24"/>
          <w:szCs w:val="24"/>
        </w:rPr>
        <w:t xml:space="preserve">перевіряти одержані первинні документи за формою та змістом, у разі відсутності на них обов’язкових реквізитів передає їх керівнику підрозділу (відділу, управління) бухгалтерського обліку для прийняття рішення. Систематизувати одержані первинні документи, переносити інформацію, відображену в цих документах, у потрібному аналітичному розрізі у відомості (допоміжні відомості, аркуші-розшифровки), виводити підсумки цифрової інформації у цих документах за її видами, напрямами та періодами. На документах, дані яких включені бухгалтером до облікових регістрів, зазначати номер відповідних облікових регістрів і порядкові номери запису в них (номер рядка). Готувати проміжні розрахунки, необхідні для здійснення обліку господарських операцій, та подавати їх до розгляду. Готувати дані та форми документів для розрахункових операцій. Вносити записи в журнали обліку бланків суворої звітності, цінних паперів тощо. Здійснювати реєстрацію документів бухгалтерського обліку, які надходять до підрозділу (відділу, управління). Комплектує в хронологічному порядку документи після їх оброблення, нумерувати аркуші, складати внутрішній опис документів, </w:t>
      </w:r>
      <w:proofErr w:type="spellStart"/>
      <w:r w:rsidRPr="00AF4700">
        <w:rPr>
          <w:bCs/>
          <w:color w:val="000000" w:themeColor="text1"/>
          <w:sz w:val="24"/>
          <w:szCs w:val="24"/>
        </w:rPr>
        <w:t>засвідчувальний</w:t>
      </w:r>
      <w:proofErr w:type="spellEnd"/>
      <w:r w:rsidRPr="00AF4700">
        <w:rPr>
          <w:bCs/>
          <w:color w:val="000000" w:themeColor="text1"/>
          <w:sz w:val="24"/>
          <w:szCs w:val="24"/>
        </w:rPr>
        <w:t xml:space="preserve"> напис справи, підшивати або оправляти, оформлювати обкладинку (титульний лист). Передавати до зберігання або вести формування, систематизацію та зберігання справ у структурному підрозділі.</w:t>
      </w:r>
    </w:p>
    <w:p w:rsidR="00AF4700" w:rsidRPr="00AF4700" w:rsidRDefault="00AF4700" w:rsidP="00AF4700">
      <w:pPr>
        <w:pStyle w:val="1"/>
        <w:keepNext w:val="0"/>
        <w:keepLines w:val="0"/>
        <w:tabs>
          <w:tab w:val="left" w:pos="539"/>
        </w:tabs>
        <w:spacing w:before="0"/>
        <w:ind w:left="53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F47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Загальнопрофесійні</w:t>
      </w:r>
      <w:proofErr w:type="spellEnd"/>
      <w:r w:rsidRPr="00AF47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вимоги</w:t>
      </w:r>
    </w:p>
    <w:p w:rsidR="00AF4700" w:rsidRPr="00AF4700" w:rsidRDefault="00AF4700" w:rsidP="00AF4700">
      <w:pPr>
        <w:ind w:left="540"/>
        <w:jc w:val="both"/>
        <w:rPr>
          <w:b/>
          <w:bCs/>
          <w:color w:val="000000" w:themeColor="text1"/>
          <w:sz w:val="24"/>
          <w:szCs w:val="24"/>
        </w:rPr>
      </w:pPr>
      <w:r w:rsidRPr="00AF4700">
        <w:rPr>
          <w:b/>
          <w:bCs/>
          <w:color w:val="000000" w:themeColor="text1"/>
          <w:sz w:val="24"/>
          <w:szCs w:val="24"/>
        </w:rPr>
        <w:t>Повинен:</w:t>
      </w:r>
    </w:p>
    <w:p w:rsidR="00AF4700" w:rsidRPr="00AF4700" w:rsidRDefault="00AF4700" w:rsidP="00AF4700">
      <w:pPr>
        <w:numPr>
          <w:ilvl w:val="0"/>
          <w:numId w:val="5"/>
        </w:numPr>
        <w:tabs>
          <w:tab w:val="left" w:pos="902"/>
        </w:tabs>
        <w:jc w:val="both"/>
        <w:rPr>
          <w:color w:val="000000" w:themeColor="text1"/>
          <w:sz w:val="24"/>
          <w:szCs w:val="24"/>
        </w:rPr>
      </w:pPr>
      <w:r w:rsidRPr="00AF4700">
        <w:rPr>
          <w:color w:val="000000" w:themeColor="text1"/>
          <w:sz w:val="24"/>
          <w:szCs w:val="24"/>
        </w:rPr>
        <w:t>раціонально та ефективно організовувати працю на робочому місці;</w:t>
      </w:r>
    </w:p>
    <w:p w:rsidR="00AF4700" w:rsidRPr="00AF4700" w:rsidRDefault="00AF4700" w:rsidP="00AF4700">
      <w:pPr>
        <w:numPr>
          <w:ilvl w:val="0"/>
          <w:numId w:val="5"/>
        </w:numPr>
        <w:tabs>
          <w:tab w:val="left" w:pos="902"/>
        </w:tabs>
        <w:rPr>
          <w:color w:val="000000" w:themeColor="text1"/>
          <w:sz w:val="24"/>
          <w:szCs w:val="24"/>
        </w:rPr>
      </w:pPr>
      <w:r w:rsidRPr="00AF4700">
        <w:rPr>
          <w:color w:val="000000" w:themeColor="text1"/>
          <w:sz w:val="24"/>
          <w:szCs w:val="24"/>
        </w:rPr>
        <w:t>додержуватись норм технологічного процесу;</w:t>
      </w:r>
    </w:p>
    <w:p w:rsidR="00AF4700" w:rsidRPr="00AF4700" w:rsidRDefault="00AF4700" w:rsidP="00AF4700">
      <w:pPr>
        <w:numPr>
          <w:ilvl w:val="0"/>
          <w:numId w:val="5"/>
        </w:numPr>
        <w:tabs>
          <w:tab w:val="left" w:pos="902"/>
        </w:tabs>
        <w:rPr>
          <w:color w:val="000000" w:themeColor="text1"/>
          <w:sz w:val="24"/>
          <w:szCs w:val="24"/>
        </w:rPr>
      </w:pPr>
      <w:r w:rsidRPr="00AF4700">
        <w:rPr>
          <w:color w:val="000000" w:themeColor="text1"/>
          <w:sz w:val="24"/>
          <w:szCs w:val="24"/>
        </w:rPr>
        <w:t>не допускати браку в роботі;</w:t>
      </w:r>
    </w:p>
    <w:p w:rsidR="00AF4700" w:rsidRPr="00AF4700" w:rsidRDefault="00AF4700" w:rsidP="00AF4700">
      <w:pPr>
        <w:numPr>
          <w:ilvl w:val="0"/>
          <w:numId w:val="5"/>
        </w:numPr>
        <w:tabs>
          <w:tab w:val="left" w:pos="902"/>
        </w:tabs>
        <w:jc w:val="both"/>
        <w:rPr>
          <w:color w:val="000000" w:themeColor="text1"/>
          <w:sz w:val="24"/>
          <w:szCs w:val="24"/>
        </w:rPr>
      </w:pPr>
      <w:r w:rsidRPr="00AF4700">
        <w:rPr>
          <w:color w:val="000000" w:themeColor="text1"/>
          <w:sz w:val="24"/>
          <w:szCs w:val="24"/>
        </w:rPr>
        <w:t>знати і виконувати вимоги нормативних актів про охорону праці й навколишнього середовища, додержуватися норм, методів і прийомів безпечного ведення робіт;</w:t>
      </w:r>
    </w:p>
    <w:p w:rsidR="00AF4700" w:rsidRPr="00AF4700" w:rsidRDefault="00AF4700" w:rsidP="00AF4700">
      <w:pPr>
        <w:numPr>
          <w:ilvl w:val="0"/>
          <w:numId w:val="5"/>
        </w:numPr>
        <w:tabs>
          <w:tab w:val="left" w:pos="902"/>
        </w:tabs>
        <w:jc w:val="both"/>
        <w:rPr>
          <w:color w:val="000000" w:themeColor="text1"/>
          <w:sz w:val="24"/>
          <w:szCs w:val="24"/>
        </w:rPr>
      </w:pPr>
      <w:r w:rsidRPr="00AF4700">
        <w:rPr>
          <w:color w:val="000000" w:themeColor="text1"/>
          <w:sz w:val="24"/>
          <w:szCs w:val="24"/>
        </w:rPr>
        <w:t>використовувати в разі необхідності засоби попередження і усунення природних і непередбачених негативних явищ (пожежі, аварії, повені тощо);</w:t>
      </w:r>
    </w:p>
    <w:p w:rsidR="00AF4700" w:rsidRPr="00AF4700" w:rsidRDefault="00AF4700" w:rsidP="00AF4700">
      <w:pPr>
        <w:pStyle w:val="1"/>
        <w:keepNext w:val="0"/>
        <w:keepLines w:val="0"/>
        <w:tabs>
          <w:tab w:val="left" w:pos="539"/>
        </w:tabs>
        <w:spacing w:before="0"/>
        <w:ind w:left="53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47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Вимоги до освітнього рівня осіб, які навчатимуться в системі професійно-технічної освіти:</w:t>
      </w:r>
      <w:r w:rsidRPr="00AF4700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 xml:space="preserve"> </w:t>
      </w:r>
      <w:r w:rsidRPr="00AF4700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 </w:t>
      </w:r>
    </w:p>
    <w:p w:rsidR="00AF4700" w:rsidRPr="00AF4700" w:rsidRDefault="00AF4700" w:rsidP="00AF4700">
      <w:pPr>
        <w:ind w:left="539"/>
        <w:jc w:val="both"/>
        <w:rPr>
          <w:color w:val="000000" w:themeColor="text1"/>
          <w:sz w:val="24"/>
          <w:szCs w:val="24"/>
          <w:lang w:val="ru-RU"/>
        </w:rPr>
      </w:pPr>
      <w:r w:rsidRPr="00AF4700">
        <w:rPr>
          <w:color w:val="000000" w:themeColor="text1"/>
          <w:sz w:val="24"/>
          <w:szCs w:val="24"/>
        </w:rPr>
        <w:t>Повна загальна середня освіта. Без вимог до стажу роботи.</w:t>
      </w:r>
    </w:p>
    <w:p w:rsidR="00AF4700" w:rsidRPr="00AF4700" w:rsidRDefault="00AF4700" w:rsidP="00AF4700">
      <w:pPr>
        <w:pStyle w:val="1"/>
        <w:keepNext w:val="0"/>
        <w:keepLines w:val="0"/>
        <w:tabs>
          <w:tab w:val="left" w:pos="539"/>
        </w:tabs>
        <w:spacing w:before="0"/>
        <w:ind w:left="53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47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Сфера професійного використання випускника:</w:t>
      </w:r>
    </w:p>
    <w:p w:rsidR="00AF4700" w:rsidRPr="00AF4700" w:rsidRDefault="00AF4700" w:rsidP="00AF4700">
      <w:pPr>
        <w:tabs>
          <w:tab w:val="left" w:pos="902"/>
        </w:tabs>
        <w:rPr>
          <w:color w:val="000000" w:themeColor="text1"/>
          <w:sz w:val="24"/>
          <w:szCs w:val="24"/>
          <w:lang w:val="ru-RU"/>
        </w:rPr>
      </w:pPr>
      <w:r w:rsidRPr="00AF4700">
        <w:rPr>
          <w:color w:val="000000" w:themeColor="text1"/>
          <w:sz w:val="24"/>
          <w:szCs w:val="24"/>
        </w:rPr>
        <w:tab/>
        <w:t xml:space="preserve">Діяльність у сфері бухгалтерського обліку та аудиту </w:t>
      </w:r>
    </w:p>
    <w:p w:rsidR="00AF4700" w:rsidRPr="00AF4700" w:rsidRDefault="00AF4700" w:rsidP="00AF4700">
      <w:pPr>
        <w:pStyle w:val="1"/>
        <w:keepNext w:val="0"/>
        <w:keepLines w:val="0"/>
        <w:tabs>
          <w:tab w:val="left" w:pos="539"/>
        </w:tabs>
        <w:spacing w:before="0"/>
        <w:ind w:left="53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47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Специфічні вимоги</w:t>
      </w:r>
    </w:p>
    <w:p w:rsidR="00AF4700" w:rsidRPr="00AF4700" w:rsidRDefault="00AF4700" w:rsidP="00AF4700">
      <w:pPr>
        <w:ind w:left="567"/>
        <w:rPr>
          <w:color w:val="000000" w:themeColor="text1"/>
          <w:sz w:val="24"/>
          <w:szCs w:val="24"/>
        </w:rPr>
      </w:pPr>
      <w:r w:rsidRPr="00AF4700">
        <w:rPr>
          <w:i/>
          <w:color w:val="000000" w:themeColor="text1"/>
          <w:sz w:val="24"/>
          <w:szCs w:val="24"/>
        </w:rPr>
        <w:t xml:space="preserve">Вік: </w:t>
      </w:r>
      <w:r w:rsidRPr="00AF4700">
        <w:rPr>
          <w:color w:val="000000" w:themeColor="text1"/>
          <w:sz w:val="24"/>
          <w:szCs w:val="24"/>
        </w:rPr>
        <w:t>по закінченні терміну навчання – не менше 18 років.</w:t>
      </w:r>
    </w:p>
    <w:p w:rsidR="00AF4700" w:rsidRPr="00AF4700" w:rsidRDefault="00AF4700" w:rsidP="00AF4700">
      <w:pPr>
        <w:ind w:left="567"/>
        <w:rPr>
          <w:color w:val="000000" w:themeColor="text1"/>
          <w:sz w:val="24"/>
          <w:szCs w:val="24"/>
        </w:rPr>
      </w:pPr>
      <w:r w:rsidRPr="00AF4700">
        <w:rPr>
          <w:i/>
          <w:color w:val="000000" w:themeColor="text1"/>
          <w:sz w:val="24"/>
          <w:szCs w:val="24"/>
        </w:rPr>
        <w:t>Стать:</w:t>
      </w:r>
      <w:r w:rsidRPr="00AF4700">
        <w:rPr>
          <w:color w:val="000000" w:themeColor="text1"/>
          <w:sz w:val="24"/>
          <w:szCs w:val="24"/>
        </w:rPr>
        <w:t xml:space="preserve"> жіноча, чоловіча.</w:t>
      </w:r>
    </w:p>
    <w:p w:rsidR="00AF4700" w:rsidRPr="00AF4700" w:rsidRDefault="00AF4700" w:rsidP="00AF4700">
      <w:pPr>
        <w:ind w:left="567"/>
        <w:rPr>
          <w:color w:val="000000" w:themeColor="text1"/>
          <w:sz w:val="24"/>
          <w:szCs w:val="24"/>
        </w:rPr>
      </w:pPr>
      <w:r w:rsidRPr="00AF4700">
        <w:rPr>
          <w:color w:val="000000" w:themeColor="text1"/>
          <w:sz w:val="24"/>
          <w:szCs w:val="24"/>
        </w:rPr>
        <w:t>Медичні обмеження.</w:t>
      </w:r>
    </w:p>
    <w:p w:rsidR="00AF4700" w:rsidRPr="000E3CD4" w:rsidRDefault="00AF4700" w:rsidP="004C4C8B">
      <w:pPr>
        <w:widowControl w:val="0"/>
        <w:jc w:val="center"/>
        <w:rPr>
          <w:b/>
          <w:bCs/>
          <w:i/>
          <w:iCs/>
          <w:u w:val="single"/>
        </w:rPr>
      </w:pPr>
    </w:p>
    <w:sectPr w:rsidR="00AF4700" w:rsidRPr="000E3CD4" w:rsidSect="00D718DD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9D"/>
    <w:multiLevelType w:val="multilevel"/>
    <w:tmpl w:val="0972CB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E43201"/>
    <w:multiLevelType w:val="multilevel"/>
    <w:tmpl w:val="D6B69B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iCs/>
      </w:rPr>
    </w:lvl>
  </w:abstractNum>
  <w:abstractNum w:abstractNumId="2">
    <w:nsid w:val="3437591D"/>
    <w:multiLevelType w:val="hybridMultilevel"/>
    <w:tmpl w:val="D686853E"/>
    <w:lvl w:ilvl="0" w:tplc="88F0DD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92E30"/>
    <w:multiLevelType w:val="multilevel"/>
    <w:tmpl w:val="62BC60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75DC39F4"/>
    <w:multiLevelType w:val="multilevel"/>
    <w:tmpl w:val="643A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07E0"/>
    <w:rsid w:val="0002639C"/>
    <w:rsid w:val="00082CE4"/>
    <w:rsid w:val="000E3CD4"/>
    <w:rsid w:val="0032264C"/>
    <w:rsid w:val="004C4C8B"/>
    <w:rsid w:val="00521A15"/>
    <w:rsid w:val="00550BE8"/>
    <w:rsid w:val="005A37A6"/>
    <w:rsid w:val="005F30A7"/>
    <w:rsid w:val="005F6491"/>
    <w:rsid w:val="00660F99"/>
    <w:rsid w:val="006D0D7B"/>
    <w:rsid w:val="008427DA"/>
    <w:rsid w:val="008A487E"/>
    <w:rsid w:val="00AF4700"/>
    <w:rsid w:val="00C01BF7"/>
    <w:rsid w:val="00C917B0"/>
    <w:rsid w:val="00CE7109"/>
    <w:rsid w:val="00D718DD"/>
    <w:rsid w:val="00D73240"/>
    <w:rsid w:val="00DC3FBC"/>
    <w:rsid w:val="00E007E0"/>
    <w:rsid w:val="00E75259"/>
    <w:rsid w:val="00E90A80"/>
    <w:rsid w:val="00F6369B"/>
    <w:rsid w:val="00FC3442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9">
    <w:name w:val="heading 9"/>
    <w:basedOn w:val="a"/>
    <w:next w:val="a"/>
    <w:link w:val="90"/>
    <w:qFormat/>
    <w:rsid w:val="00E90A80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90A80"/>
    <w:rPr>
      <w:spacing w:val="-9"/>
      <w:shd w:val="clear" w:color="auto" w:fill="FFFFFF"/>
    </w:rPr>
  </w:style>
  <w:style w:type="paragraph" w:styleId="a4">
    <w:name w:val="Body Text"/>
    <w:basedOn w:val="a"/>
    <w:link w:val="a3"/>
    <w:rsid w:val="00E90A80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pacing w:val="-9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90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90A80"/>
    <w:pPr>
      <w:spacing w:after="120"/>
      <w:ind w:left="283"/>
    </w:pPr>
    <w:rPr>
      <w:sz w:val="24"/>
      <w:szCs w:val="24"/>
      <w:lang w:val="ru-RU" w:eastAsia="en-US"/>
    </w:rPr>
  </w:style>
  <w:style w:type="character" w:customStyle="1" w:styleId="a6">
    <w:name w:val="Основной текст с отступом Знак"/>
    <w:basedOn w:val="a0"/>
    <w:link w:val="a5"/>
    <w:rsid w:val="00E90A8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E90A80"/>
    <w:rPr>
      <w:rFonts w:ascii="Arial" w:eastAsia="Times New Roman" w:hAnsi="Arial" w:cs="Arial"/>
      <w:lang w:val="ru-RU" w:eastAsia="ru-RU"/>
    </w:rPr>
  </w:style>
  <w:style w:type="paragraph" w:customStyle="1" w:styleId="12">
    <w:name w:val="Знак Знак12"/>
    <w:basedOn w:val="a"/>
    <w:rsid w:val="00E90A8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90A80"/>
    <w:pPr>
      <w:spacing w:after="120" w:line="480" w:lineRule="auto"/>
      <w:ind w:left="283"/>
    </w:pPr>
    <w:rPr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rsid w:val="00E90A8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082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F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4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2017-11-11T17:12:00Z</dcterms:created>
  <dcterms:modified xsi:type="dcterms:W3CDTF">2017-11-11T17:16:00Z</dcterms:modified>
</cp:coreProperties>
</file>